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17" w:rsidRDefault="00C43017">
      <w:pPr>
        <w:pStyle w:val="BodyText"/>
        <w:ind w:left="6999"/>
        <w:rPr>
          <w:rFonts w:ascii="Times New Roman"/>
          <w:sz w:val="20"/>
        </w:rPr>
      </w:pPr>
    </w:p>
    <w:p w:rsidR="00C43017" w:rsidRDefault="00A94221">
      <w:pPr>
        <w:spacing w:before="54"/>
        <w:ind w:left="5921" w:right="5977"/>
        <w:jc w:val="center"/>
        <w:rPr>
          <w:b/>
          <w:sz w:val="36"/>
        </w:rPr>
      </w:pPr>
      <w:r>
        <w:rPr>
          <w:b/>
          <w:color w:val="FFFFFF"/>
          <w:sz w:val="36"/>
          <w:shd w:val="clear" w:color="auto" w:fill="1F487C"/>
        </w:rPr>
        <w:t xml:space="preserve">Twiss Green </w:t>
      </w:r>
      <w:r w:rsidR="002626EF">
        <w:rPr>
          <w:b/>
          <w:color w:val="FFFFFF"/>
          <w:sz w:val="36"/>
          <w:shd w:val="clear" w:color="auto" w:fill="1F487C"/>
        </w:rPr>
        <w:t>Primary</w:t>
      </w:r>
      <w:r>
        <w:rPr>
          <w:b/>
          <w:color w:val="FFFFFF"/>
          <w:sz w:val="36"/>
          <w:shd w:val="clear" w:color="auto" w:fill="1F487C"/>
        </w:rPr>
        <w:t xml:space="preserve"> </w:t>
      </w:r>
      <w:proofErr w:type="gramStart"/>
      <w:r w:rsidR="002626EF">
        <w:rPr>
          <w:b/>
          <w:color w:val="FFFFFF"/>
          <w:sz w:val="36"/>
          <w:shd w:val="clear" w:color="auto" w:fill="1F487C"/>
        </w:rPr>
        <w:t>School  Pupil</w:t>
      </w:r>
      <w:proofErr w:type="gramEnd"/>
      <w:r w:rsidR="002626EF">
        <w:rPr>
          <w:b/>
          <w:color w:val="FFFFFF"/>
          <w:sz w:val="36"/>
          <w:shd w:val="clear" w:color="auto" w:fill="1F487C"/>
        </w:rPr>
        <w:t xml:space="preserve"> Premium Strategy 2016</w:t>
      </w:r>
    </w:p>
    <w:p w:rsidR="00C43017" w:rsidRDefault="00C43017">
      <w:pPr>
        <w:spacing w:before="6"/>
        <w:rPr>
          <w:b/>
          <w:sz w:val="21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277"/>
        <w:gridCol w:w="3632"/>
        <w:gridCol w:w="1471"/>
        <w:gridCol w:w="4820"/>
        <w:gridCol w:w="1560"/>
      </w:tblGrid>
      <w:tr w:rsidR="00C43017">
        <w:trPr>
          <w:trHeight w:hRule="exact" w:val="377"/>
        </w:trPr>
        <w:tc>
          <w:tcPr>
            <w:tcW w:w="15420" w:type="dxa"/>
            <w:gridSpan w:val="6"/>
            <w:shd w:val="clear" w:color="auto" w:fill="1F487C"/>
          </w:tcPr>
          <w:p w:rsidR="00C43017" w:rsidRDefault="00D31AB6">
            <w:pPr>
              <w:pStyle w:val="TableParagraph"/>
              <w:spacing w:before="50"/>
              <w:ind w:left="244"/>
              <w:rPr>
                <w:b/>
              </w:rPr>
            </w:pPr>
            <w:r>
              <w:rPr>
                <w:b/>
                <w:color w:val="FFFFFF"/>
              </w:rPr>
              <w:t>1.  Summary information</w:t>
            </w:r>
          </w:p>
        </w:tc>
      </w:tr>
      <w:tr w:rsidR="00C43017">
        <w:trPr>
          <w:trHeight w:hRule="exact" w:val="377"/>
        </w:trPr>
        <w:tc>
          <w:tcPr>
            <w:tcW w:w="2660" w:type="dxa"/>
            <w:tcBorders>
              <w:top w:val="single" w:sz="23" w:space="0" w:color="1F487C"/>
            </w:tcBorders>
          </w:tcPr>
          <w:p w:rsidR="00C43017" w:rsidRDefault="00D31AB6">
            <w:pPr>
              <w:pStyle w:val="TableParagraph"/>
              <w:spacing w:before="29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2760" w:type="dxa"/>
            <w:gridSpan w:val="5"/>
            <w:tcBorders>
              <w:top w:val="single" w:sz="23" w:space="0" w:color="1F487C"/>
            </w:tcBorders>
          </w:tcPr>
          <w:p w:rsidR="00C43017" w:rsidRDefault="00A94221">
            <w:pPr>
              <w:pStyle w:val="TableParagraph"/>
              <w:spacing w:before="32"/>
            </w:pPr>
            <w:r>
              <w:t>Twiss Green</w:t>
            </w:r>
            <w:r w:rsidR="00D31AB6">
              <w:t xml:space="preserve"> Primary</w:t>
            </w:r>
            <w:r w:rsidR="002626EF">
              <w:t xml:space="preserve"> School</w:t>
            </w:r>
          </w:p>
        </w:tc>
      </w:tr>
      <w:tr w:rsidR="00C43017">
        <w:trPr>
          <w:trHeight w:hRule="exact" w:val="629"/>
        </w:trPr>
        <w:tc>
          <w:tcPr>
            <w:tcW w:w="2660" w:type="dxa"/>
          </w:tcPr>
          <w:p w:rsidR="00C43017" w:rsidRDefault="00D31AB6">
            <w:pPr>
              <w:pStyle w:val="TableParagraph"/>
              <w:rPr>
                <w:b/>
              </w:rPr>
            </w:pPr>
            <w:r>
              <w:rPr>
                <w:b/>
              </w:rPr>
              <w:t>Academic Year</w:t>
            </w:r>
          </w:p>
        </w:tc>
        <w:tc>
          <w:tcPr>
            <w:tcW w:w="1277" w:type="dxa"/>
          </w:tcPr>
          <w:p w:rsidR="00C43017" w:rsidRDefault="00D31AB6">
            <w:pPr>
              <w:pStyle w:val="TableParagraph"/>
              <w:spacing w:before="55"/>
            </w:pPr>
            <w:r>
              <w:t>2016/17</w:t>
            </w:r>
          </w:p>
        </w:tc>
        <w:tc>
          <w:tcPr>
            <w:tcW w:w="3632" w:type="dxa"/>
          </w:tcPr>
          <w:p w:rsidR="00C43017" w:rsidRDefault="00D31AB6">
            <w:pPr>
              <w:pStyle w:val="TableParagraph"/>
              <w:rPr>
                <w:b/>
              </w:rPr>
            </w:pPr>
            <w:r>
              <w:rPr>
                <w:b/>
              </w:rPr>
              <w:t>Total PP budget</w:t>
            </w:r>
          </w:p>
        </w:tc>
        <w:tc>
          <w:tcPr>
            <w:tcW w:w="1471" w:type="dxa"/>
          </w:tcPr>
          <w:p w:rsidR="00C43017" w:rsidRDefault="002626EF" w:rsidP="0045599E">
            <w:pPr>
              <w:pStyle w:val="TableParagraph"/>
              <w:spacing w:before="55"/>
            </w:pPr>
            <w:r>
              <w:t>£</w:t>
            </w:r>
            <w:r w:rsidR="0045599E">
              <w:t>2404</w:t>
            </w:r>
            <w:r w:rsidR="00716632">
              <w:t>0</w:t>
            </w:r>
          </w:p>
        </w:tc>
        <w:tc>
          <w:tcPr>
            <w:tcW w:w="4820" w:type="dxa"/>
          </w:tcPr>
          <w:p w:rsidR="00C43017" w:rsidRDefault="00D31AB6">
            <w:pPr>
              <w:pStyle w:val="TableParagraph"/>
              <w:rPr>
                <w:b/>
              </w:rPr>
            </w:pPr>
            <w:r>
              <w:rPr>
                <w:b/>
              </w:rPr>
              <w:t>Date of most recent PP Review</w:t>
            </w:r>
          </w:p>
        </w:tc>
        <w:tc>
          <w:tcPr>
            <w:tcW w:w="1560" w:type="dxa"/>
          </w:tcPr>
          <w:p w:rsidR="00C43017" w:rsidRDefault="002626EF">
            <w:pPr>
              <w:pStyle w:val="TableParagraph"/>
              <w:spacing w:before="55"/>
              <w:ind w:right="351"/>
            </w:pPr>
            <w:r>
              <w:t>October</w:t>
            </w:r>
            <w:r w:rsidR="00D31AB6">
              <w:t xml:space="preserve"> 2016</w:t>
            </w:r>
          </w:p>
        </w:tc>
      </w:tr>
      <w:tr w:rsidR="00C43017">
        <w:trPr>
          <w:trHeight w:hRule="exact" w:val="631"/>
        </w:trPr>
        <w:tc>
          <w:tcPr>
            <w:tcW w:w="2660" w:type="dxa"/>
          </w:tcPr>
          <w:p w:rsidR="00C43017" w:rsidRDefault="00D31AB6">
            <w:pPr>
              <w:pStyle w:val="TableParagraph"/>
              <w:rPr>
                <w:b/>
              </w:rPr>
            </w:pPr>
            <w:r>
              <w:rPr>
                <w:b/>
              </w:rPr>
              <w:t>Total number of pupils</w:t>
            </w:r>
          </w:p>
        </w:tc>
        <w:tc>
          <w:tcPr>
            <w:tcW w:w="1277" w:type="dxa"/>
          </w:tcPr>
          <w:p w:rsidR="00C43017" w:rsidRDefault="002626EF" w:rsidP="00716632">
            <w:pPr>
              <w:pStyle w:val="TableParagraph"/>
              <w:spacing w:before="55"/>
            </w:pPr>
            <w:r>
              <w:t>2</w:t>
            </w:r>
            <w:r w:rsidR="00716632">
              <w:t>10</w:t>
            </w:r>
          </w:p>
        </w:tc>
        <w:tc>
          <w:tcPr>
            <w:tcW w:w="3632" w:type="dxa"/>
          </w:tcPr>
          <w:p w:rsidR="00C43017" w:rsidRDefault="00D31AB6">
            <w:pPr>
              <w:pStyle w:val="TableParagraph"/>
              <w:rPr>
                <w:b/>
              </w:rPr>
            </w:pPr>
            <w:r>
              <w:rPr>
                <w:b/>
              </w:rPr>
              <w:t>Number of pupils eligible for PP</w:t>
            </w:r>
          </w:p>
        </w:tc>
        <w:tc>
          <w:tcPr>
            <w:tcW w:w="1471" w:type="dxa"/>
          </w:tcPr>
          <w:p w:rsidR="00C43017" w:rsidRDefault="0045599E" w:rsidP="00716632">
            <w:pPr>
              <w:pStyle w:val="TableParagraph"/>
              <w:spacing w:before="55"/>
            </w:pPr>
            <w:r>
              <w:t>24</w:t>
            </w:r>
          </w:p>
        </w:tc>
        <w:tc>
          <w:tcPr>
            <w:tcW w:w="4820" w:type="dxa"/>
          </w:tcPr>
          <w:p w:rsidR="00C43017" w:rsidRDefault="00D31AB6">
            <w:pPr>
              <w:pStyle w:val="TableParagraph"/>
              <w:rPr>
                <w:b/>
              </w:rPr>
            </w:pPr>
            <w:r>
              <w:rPr>
                <w:b/>
              </w:rPr>
              <w:t>Date for next internal review of this strategy</w:t>
            </w:r>
          </w:p>
        </w:tc>
        <w:tc>
          <w:tcPr>
            <w:tcW w:w="1560" w:type="dxa"/>
          </w:tcPr>
          <w:p w:rsidR="00C43017" w:rsidRDefault="002626EF">
            <w:pPr>
              <w:pStyle w:val="TableParagraph"/>
              <w:spacing w:before="55"/>
              <w:ind w:right="413"/>
            </w:pPr>
            <w:r>
              <w:t>January 2017</w:t>
            </w:r>
          </w:p>
        </w:tc>
      </w:tr>
    </w:tbl>
    <w:p w:rsidR="00C43017" w:rsidRDefault="00C43017">
      <w:pPr>
        <w:spacing w:after="1"/>
        <w:rPr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9"/>
        <w:gridCol w:w="2977"/>
        <w:gridCol w:w="4395"/>
      </w:tblGrid>
      <w:tr w:rsidR="00C43017">
        <w:trPr>
          <w:trHeight w:hRule="exact" w:val="377"/>
        </w:trPr>
        <w:tc>
          <w:tcPr>
            <w:tcW w:w="15420" w:type="dxa"/>
            <w:gridSpan w:val="3"/>
            <w:shd w:val="clear" w:color="auto" w:fill="1F487C"/>
          </w:tcPr>
          <w:p w:rsidR="00C43017" w:rsidRDefault="00D31AB6">
            <w:pPr>
              <w:pStyle w:val="TableParagraph"/>
              <w:spacing w:before="50"/>
              <w:ind w:left="244"/>
              <w:rPr>
                <w:b/>
              </w:rPr>
            </w:pPr>
            <w:r>
              <w:rPr>
                <w:b/>
                <w:color w:val="FFFFFF"/>
              </w:rPr>
              <w:t>2.  Attainment July 2016</w:t>
            </w:r>
          </w:p>
        </w:tc>
      </w:tr>
      <w:tr w:rsidR="00C43017">
        <w:trPr>
          <w:trHeight w:hRule="exact" w:val="377"/>
        </w:trPr>
        <w:tc>
          <w:tcPr>
            <w:tcW w:w="8049" w:type="dxa"/>
            <w:tcBorders>
              <w:top w:val="single" w:sz="23" w:space="0" w:color="1F487C"/>
            </w:tcBorders>
          </w:tcPr>
          <w:p w:rsidR="00C43017" w:rsidRDefault="00C43017"/>
        </w:tc>
        <w:tc>
          <w:tcPr>
            <w:tcW w:w="2977" w:type="dxa"/>
            <w:tcBorders>
              <w:top w:val="single" w:sz="23" w:space="0" w:color="1F487C"/>
            </w:tcBorders>
          </w:tcPr>
          <w:p w:rsidR="00C43017" w:rsidRDefault="00D31AB6">
            <w:pPr>
              <w:pStyle w:val="TableParagraph"/>
              <w:spacing w:before="52"/>
              <w:ind w:left="652"/>
              <w:rPr>
                <w:i/>
                <w:sz w:val="18"/>
              </w:rPr>
            </w:pPr>
            <w:r>
              <w:rPr>
                <w:i/>
                <w:sz w:val="18"/>
              </w:rPr>
              <w:t>Pupils eligible for PP</w:t>
            </w:r>
          </w:p>
        </w:tc>
        <w:tc>
          <w:tcPr>
            <w:tcW w:w="4395" w:type="dxa"/>
            <w:tcBorders>
              <w:top w:val="single" w:sz="23" w:space="0" w:color="1F487C"/>
              <w:bottom w:val="single" w:sz="23" w:space="0" w:color="F1F1F1"/>
            </w:tcBorders>
          </w:tcPr>
          <w:p w:rsidR="00C43017" w:rsidRDefault="00D31AB6">
            <w:pPr>
              <w:pStyle w:val="TableParagraph"/>
              <w:spacing w:before="52"/>
              <w:ind w:left="444" w:right="448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Pupils not eligible for PP (national average)</w:t>
            </w:r>
          </w:p>
        </w:tc>
      </w:tr>
      <w:tr w:rsidR="00C43017">
        <w:trPr>
          <w:trHeight w:hRule="exact" w:val="389"/>
        </w:trPr>
        <w:tc>
          <w:tcPr>
            <w:tcW w:w="8049" w:type="dxa"/>
          </w:tcPr>
          <w:p w:rsidR="00C43017" w:rsidRDefault="00D31AB6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% achieving 100 or above in reading, writing and </w:t>
            </w:r>
            <w:proofErr w:type="spellStart"/>
            <w:r>
              <w:rPr>
                <w:b/>
                <w:sz w:val="20"/>
              </w:rPr>
              <w:t>maths</w:t>
            </w:r>
            <w:proofErr w:type="spellEnd"/>
          </w:p>
        </w:tc>
        <w:tc>
          <w:tcPr>
            <w:tcW w:w="2977" w:type="dxa"/>
          </w:tcPr>
          <w:p w:rsidR="00C43017" w:rsidRDefault="000C0834">
            <w:pPr>
              <w:pStyle w:val="TableParagraph"/>
              <w:spacing w:before="60"/>
              <w:ind w:left="1333" w:right="1152"/>
              <w:jc w:val="center"/>
            </w:pPr>
            <w:r>
              <w:t>66</w:t>
            </w:r>
            <w:r w:rsidR="00D31AB6">
              <w:t>%</w:t>
            </w:r>
          </w:p>
        </w:tc>
        <w:tc>
          <w:tcPr>
            <w:tcW w:w="4395" w:type="dxa"/>
            <w:shd w:val="clear" w:color="auto" w:fill="F1F1F1"/>
          </w:tcPr>
          <w:p w:rsidR="00C43017" w:rsidRDefault="000C0834">
            <w:pPr>
              <w:pStyle w:val="TableParagraph"/>
              <w:spacing w:before="55"/>
              <w:ind w:left="444" w:right="445"/>
              <w:jc w:val="center"/>
            </w:pPr>
            <w:r>
              <w:t>68%</w:t>
            </w:r>
          </w:p>
        </w:tc>
      </w:tr>
      <w:tr w:rsidR="00C43017">
        <w:trPr>
          <w:trHeight w:hRule="exact" w:val="386"/>
        </w:trPr>
        <w:tc>
          <w:tcPr>
            <w:tcW w:w="8049" w:type="dxa"/>
          </w:tcPr>
          <w:p w:rsidR="00C43017" w:rsidRDefault="00D31AB6">
            <w:pPr>
              <w:pStyle w:val="TableParagraph"/>
              <w:spacing w:before="52"/>
              <w:rPr>
                <w:b/>
                <w:sz w:val="20"/>
              </w:rPr>
            </w:pPr>
            <w:r>
              <w:rPr>
                <w:b/>
                <w:sz w:val="20"/>
              </w:rPr>
              <w:t>Average Value Added for Disadvantaged Reading</w:t>
            </w:r>
          </w:p>
        </w:tc>
        <w:tc>
          <w:tcPr>
            <w:tcW w:w="2977" w:type="dxa"/>
          </w:tcPr>
          <w:p w:rsidR="00C43017" w:rsidRDefault="002626EF" w:rsidP="002626EF">
            <w:pPr>
              <w:pStyle w:val="TableParagraph"/>
              <w:spacing w:before="60"/>
              <w:ind w:left="1333" w:right="1152"/>
              <w:jc w:val="center"/>
            </w:pPr>
            <w:r>
              <w:t>13.2</w:t>
            </w:r>
          </w:p>
        </w:tc>
        <w:tc>
          <w:tcPr>
            <w:tcW w:w="4395" w:type="dxa"/>
            <w:shd w:val="clear" w:color="auto" w:fill="F1F1F1"/>
          </w:tcPr>
          <w:p w:rsidR="00C43017" w:rsidRDefault="00C43017">
            <w:pPr>
              <w:pStyle w:val="TableParagraph"/>
              <w:spacing w:before="60"/>
              <w:ind w:left="444" w:right="445"/>
              <w:jc w:val="center"/>
            </w:pPr>
          </w:p>
        </w:tc>
      </w:tr>
      <w:tr w:rsidR="00C43017">
        <w:trPr>
          <w:trHeight w:hRule="exact" w:val="389"/>
        </w:trPr>
        <w:tc>
          <w:tcPr>
            <w:tcW w:w="8049" w:type="dxa"/>
          </w:tcPr>
          <w:p w:rsidR="00C43017" w:rsidRDefault="00D31AB6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>Average Value Added for Disadvantaged Writing</w:t>
            </w:r>
          </w:p>
        </w:tc>
        <w:tc>
          <w:tcPr>
            <w:tcW w:w="2977" w:type="dxa"/>
          </w:tcPr>
          <w:p w:rsidR="00C43017" w:rsidRDefault="002626EF">
            <w:pPr>
              <w:pStyle w:val="TableParagraph"/>
              <w:spacing w:before="62"/>
              <w:ind w:left="1333" w:right="1152"/>
              <w:jc w:val="center"/>
            </w:pPr>
            <w:r>
              <w:t>1.86</w:t>
            </w:r>
          </w:p>
        </w:tc>
        <w:tc>
          <w:tcPr>
            <w:tcW w:w="4395" w:type="dxa"/>
            <w:shd w:val="clear" w:color="auto" w:fill="F1F1F1"/>
          </w:tcPr>
          <w:p w:rsidR="00C43017" w:rsidRDefault="00C43017">
            <w:pPr>
              <w:pStyle w:val="TableParagraph"/>
              <w:spacing w:before="62"/>
              <w:ind w:left="444" w:right="447"/>
              <w:jc w:val="center"/>
            </w:pPr>
          </w:p>
        </w:tc>
      </w:tr>
      <w:tr w:rsidR="00C43017">
        <w:trPr>
          <w:trHeight w:hRule="exact" w:val="389"/>
        </w:trPr>
        <w:tc>
          <w:tcPr>
            <w:tcW w:w="8049" w:type="dxa"/>
          </w:tcPr>
          <w:p w:rsidR="00C43017" w:rsidRDefault="00D31AB6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Average Value Added for Disadvantaged </w:t>
            </w:r>
            <w:proofErr w:type="spellStart"/>
            <w:r>
              <w:rPr>
                <w:b/>
                <w:sz w:val="20"/>
              </w:rPr>
              <w:t>Maths</w:t>
            </w:r>
            <w:proofErr w:type="spellEnd"/>
          </w:p>
        </w:tc>
        <w:tc>
          <w:tcPr>
            <w:tcW w:w="2977" w:type="dxa"/>
          </w:tcPr>
          <w:p w:rsidR="00C43017" w:rsidRDefault="002626EF">
            <w:pPr>
              <w:pStyle w:val="TableParagraph"/>
              <w:spacing w:before="62"/>
              <w:ind w:left="1333" w:right="1152"/>
              <w:jc w:val="center"/>
            </w:pPr>
            <w:r>
              <w:t>11.9</w:t>
            </w:r>
          </w:p>
        </w:tc>
        <w:tc>
          <w:tcPr>
            <w:tcW w:w="4395" w:type="dxa"/>
            <w:shd w:val="clear" w:color="auto" w:fill="F1F1F1"/>
          </w:tcPr>
          <w:p w:rsidR="00C43017" w:rsidRDefault="00C43017">
            <w:pPr>
              <w:pStyle w:val="TableParagraph"/>
              <w:spacing w:before="55"/>
              <w:ind w:left="444" w:right="444"/>
              <w:jc w:val="center"/>
            </w:pPr>
          </w:p>
        </w:tc>
      </w:tr>
    </w:tbl>
    <w:p w:rsidR="00C43017" w:rsidRDefault="00C43017">
      <w:pPr>
        <w:spacing w:after="1"/>
        <w:rPr>
          <w:b/>
          <w:sz w:val="16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2"/>
        <w:gridCol w:w="14558"/>
      </w:tblGrid>
      <w:tr w:rsidR="00C43017">
        <w:trPr>
          <w:trHeight w:hRule="exact" w:val="377"/>
        </w:trPr>
        <w:tc>
          <w:tcPr>
            <w:tcW w:w="15420" w:type="dxa"/>
            <w:gridSpan w:val="2"/>
            <w:shd w:val="clear" w:color="auto" w:fill="1F487C"/>
          </w:tcPr>
          <w:p w:rsidR="00C43017" w:rsidRDefault="00D31AB6">
            <w:pPr>
              <w:pStyle w:val="TableParagraph"/>
              <w:rPr>
                <w:b/>
              </w:rPr>
            </w:pPr>
            <w:r>
              <w:rPr>
                <w:b/>
                <w:color w:val="FFFFFF"/>
              </w:rPr>
              <w:t>Barriers to future attainment (for pupils eligible for PP, including high ability)</w:t>
            </w:r>
          </w:p>
        </w:tc>
      </w:tr>
      <w:tr w:rsidR="00C43017">
        <w:trPr>
          <w:trHeight w:hRule="exact" w:val="377"/>
        </w:trPr>
        <w:tc>
          <w:tcPr>
            <w:tcW w:w="15420" w:type="dxa"/>
            <w:gridSpan w:val="2"/>
            <w:shd w:val="clear" w:color="auto" w:fill="1F487C"/>
          </w:tcPr>
          <w:p w:rsidR="00C43017" w:rsidRDefault="00D31AB6">
            <w:pPr>
              <w:pStyle w:val="TableParagraph"/>
              <w:ind w:left="165"/>
              <w:rPr>
                <w:i/>
              </w:rPr>
            </w:pPr>
            <w:r>
              <w:rPr>
                <w:b/>
                <w:color w:val="FFFFFF"/>
              </w:rPr>
              <w:t xml:space="preserve">In-school barriers </w:t>
            </w:r>
            <w:r>
              <w:rPr>
                <w:i/>
                <w:color w:val="FFFFFF"/>
              </w:rPr>
              <w:t>(issues to be addressed in school, such as poor oral language skills)</w:t>
            </w:r>
          </w:p>
        </w:tc>
      </w:tr>
      <w:tr w:rsidR="00C43017">
        <w:trPr>
          <w:trHeight w:hRule="exact" w:val="377"/>
        </w:trPr>
        <w:tc>
          <w:tcPr>
            <w:tcW w:w="862" w:type="dxa"/>
          </w:tcPr>
          <w:p w:rsidR="00C43017" w:rsidRDefault="00D31AB6">
            <w:pPr>
              <w:pStyle w:val="TableParagraph"/>
              <w:ind w:left="194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14558" w:type="dxa"/>
          </w:tcPr>
          <w:p w:rsidR="00C43017" w:rsidRDefault="00D31AB6">
            <w:pPr>
              <w:pStyle w:val="TableParagraph"/>
              <w:spacing w:before="57"/>
              <w:ind w:right="17"/>
              <w:rPr>
                <w:sz w:val="18"/>
              </w:rPr>
            </w:pPr>
            <w:r>
              <w:rPr>
                <w:sz w:val="18"/>
              </w:rPr>
              <w:t xml:space="preserve">Language skills lower than for other pupils is impeding literacy and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 xml:space="preserve"> skills.</w:t>
            </w:r>
          </w:p>
        </w:tc>
      </w:tr>
      <w:tr w:rsidR="00C43017">
        <w:trPr>
          <w:trHeight w:hRule="exact" w:val="377"/>
        </w:trPr>
        <w:tc>
          <w:tcPr>
            <w:tcW w:w="862" w:type="dxa"/>
          </w:tcPr>
          <w:p w:rsidR="00C43017" w:rsidRDefault="00D31AB6">
            <w:pPr>
              <w:pStyle w:val="TableParagraph"/>
              <w:ind w:left="194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14558" w:type="dxa"/>
          </w:tcPr>
          <w:p w:rsidR="00C43017" w:rsidRDefault="00D31AB6" w:rsidP="00D31AB6">
            <w:pPr>
              <w:pStyle w:val="TableParagraph"/>
              <w:spacing w:before="56"/>
              <w:ind w:right="17"/>
              <w:rPr>
                <w:sz w:val="18"/>
              </w:rPr>
            </w:pPr>
            <w:r>
              <w:rPr>
                <w:sz w:val="18"/>
              </w:rPr>
              <w:t xml:space="preserve">Children eligible for PP in KS1 are working at the lower end of the expected band compared to other pupils. </w:t>
            </w:r>
          </w:p>
        </w:tc>
      </w:tr>
      <w:tr w:rsidR="00C43017">
        <w:trPr>
          <w:trHeight w:hRule="exact" w:val="538"/>
        </w:trPr>
        <w:tc>
          <w:tcPr>
            <w:tcW w:w="862" w:type="dxa"/>
          </w:tcPr>
          <w:p w:rsidR="00C43017" w:rsidRDefault="00D31AB6">
            <w:pPr>
              <w:pStyle w:val="TableParagraph"/>
              <w:ind w:left="194"/>
              <w:rPr>
                <w:b/>
              </w:rPr>
            </w:pPr>
            <w:r>
              <w:rPr>
                <w:b/>
              </w:rPr>
              <w:t>C.</w:t>
            </w:r>
          </w:p>
        </w:tc>
        <w:tc>
          <w:tcPr>
            <w:tcW w:w="14558" w:type="dxa"/>
          </w:tcPr>
          <w:p w:rsidR="00C43017" w:rsidRDefault="00D31AB6" w:rsidP="00D31AB6">
            <w:pPr>
              <w:pStyle w:val="TableParagraph"/>
              <w:spacing w:before="56"/>
              <w:ind w:right="17"/>
              <w:rPr>
                <w:sz w:val="18"/>
              </w:rPr>
            </w:pPr>
            <w:r>
              <w:rPr>
                <w:sz w:val="18"/>
              </w:rPr>
              <w:t>A third of the children eligible for PP in KS1 and KS2 have significant SEN and are working with a range of external agencies. These affect their ability to cope with school routines.</w:t>
            </w:r>
          </w:p>
        </w:tc>
      </w:tr>
      <w:tr w:rsidR="00C43017">
        <w:trPr>
          <w:trHeight w:hRule="exact" w:val="377"/>
        </w:trPr>
        <w:tc>
          <w:tcPr>
            <w:tcW w:w="15420" w:type="dxa"/>
            <w:gridSpan w:val="2"/>
            <w:shd w:val="clear" w:color="auto" w:fill="1F487C"/>
          </w:tcPr>
          <w:p w:rsidR="00C43017" w:rsidRDefault="00D31AB6">
            <w:pPr>
              <w:pStyle w:val="TableParagraph"/>
              <w:rPr>
                <w:i/>
              </w:rPr>
            </w:pPr>
            <w:r>
              <w:rPr>
                <w:b/>
                <w:color w:val="FFFFFF"/>
              </w:rPr>
              <w:t xml:space="preserve">External barriers </w:t>
            </w:r>
            <w:r>
              <w:rPr>
                <w:i/>
                <w:color w:val="FFFFFF"/>
              </w:rPr>
              <w:t>(issues which also require action outside school, such as low attendance rates)</w:t>
            </w:r>
          </w:p>
        </w:tc>
      </w:tr>
      <w:tr w:rsidR="00C43017">
        <w:trPr>
          <w:trHeight w:hRule="exact" w:val="379"/>
        </w:trPr>
        <w:tc>
          <w:tcPr>
            <w:tcW w:w="862" w:type="dxa"/>
          </w:tcPr>
          <w:p w:rsidR="00C43017" w:rsidRDefault="00D31AB6">
            <w:pPr>
              <w:pStyle w:val="TableParagraph"/>
              <w:ind w:left="244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14558" w:type="dxa"/>
          </w:tcPr>
          <w:p w:rsidR="00C43017" w:rsidRDefault="00D31AB6" w:rsidP="00D31AB6">
            <w:pPr>
              <w:pStyle w:val="TableParagraph"/>
              <w:spacing w:before="56"/>
              <w:ind w:right="17"/>
              <w:rPr>
                <w:sz w:val="18"/>
              </w:rPr>
            </w:pPr>
            <w:r>
              <w:rPr>
                <w:sz w:val="18"/>
              </w:rPr>
              <w:t>Punctuality rates for pupils eligible for PP are below that for all children. This reduces their school hours and causes them to fall behind on average.</w:t>
            </w:r>
          </w:p>
        </w:tc>
      </w:tr>
    </w:tbl>
    <w:p w:rsidR="00C43017" w:rsidRDefault="00C43017">
      <w:pPr>
        <w:rPr>
          <w:sz w:val="18"/>
        </w:rPr>
        <w:sectPr w:rsidR="00C43017">
          <w:type w:val="continuous"/>
          <w:pgSz w:w="16840" w:h="11910" w:orient="landscape"/>
          <w:pgMar w:top="680" w:right="560" w:bottom="280" w:left="62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8507"/>
        <w:gridCol w:w="6032"/>
      </w:tblGrid>
      <w:tr w:rsidR="00C43017">
        <w:trPr>
          <w:trHeight w:hRule="exact" w:val="377"/>
        </w:trPr>
        <w:tc>
          <w:tcPr>
            <w:tcW w:w="15355" w:type="dxa"/>
            <w:gridSpan w:val="3"/>
            <w:shd w:val="clear" w:color="auto" w:fill="1F487C"/>
          </w:tcPr>
          <w:p w:rsidR="00C43017" w:rsidRDefault="00D31AB6">
            <w:pPr>
              <w:pStyle w:val="TableParagraph"/>
              <w:spacing w:before="45"/>
              <w:ind w:left="244"/>
              <w:rPr>
                <w:b/>
              </w:rPr>
            </w:pPr>
            <w:r>
              <w:rPr>
                <w:b/>
                <w:color w:val="FFFFFF"/>
              </w:rPr>
              <w:lastRenderedPageBreak/>
              <w:t>3.  Desired outcomes</w:t>
            </w:r>
          </w:p>
        </w:tc>
      </w:tr>
      <w:tr w:rsidR="00C43017">
        <w:trPr>
          <w:trHeight w:hRule="exact" w:val="377"/>
        </w:trPr>
        <w:tc>
          <w:tcPr>
            <w:tcW w:w="816" w:type="dxa"/>
            <w:tcBorders>
              <w:top w:val="single" w:sz="27" w:space="0" w:color="1F487C"/>
            </w:tcBorders>
          </w:tcPr>
          <w:p w:rsidR="00C43017" w:rsidRDefault="00C43017"/>
        </w:tc>
        <w:tc>
          <w:tcPr>
            <w:tcW w:w="8507" w:type="dxa"/>
            <w:tcBorders>
              <w:top w:val="single" w:sz="27" w:space="0" w:color="1F487C"/>
            </w:tcBorders>
          </w:tcPr>
          <w:p w:rsidR="00C43017" w:rsidRDefault="00D31AB6">
            <w:pPr>
              <w:pStyle w:val="TableParagraph"/>
              <w:spacing w:before="19"/>
              <w:ind w:right="760"/>
              <w:rPr>
                <w:i/>
              </w:rPr>
            </w:pPr>
            <w:r>
              <w:rPr>
                <w:i/>
              </w:rPr>
              <w:t>Desired outcomes and how they will be measured</w:t>
            </w:r>
          </w:p>
        </w:tc>
        <w:tc>
          <w:tcPr>
            <w:tcW w:w="6032" w:type="dxa"/>
            <w:tcBorders>
              <w:top w:val="single" w:sz="27" w:space="0" w:color="1F487C"/>
            </w:tcBorders>
          </w:tcPr>
          <w:p w:rsidR="00C43017" w:rsidRDefault="00D31AB6">
            <w:pPr>
              <w:pStyle w:val="TableParagraph"/>
              <w:spacing w:before="19"/>
              <w:ind w:right="156"/>
              <w:rPr>
                <w:i/>
              </w:rPr>
            </w:pPr>
            <w:r>
              <w:rPr>
                <w:i/>
              </w:rPr>
              <w:t>Success criteria</w:t>
            </w:r>
          </w:p>
        </w:tc>
      </w:tr>
      <w:tr w:rsidR="00C43017">
        <w:trPr>
          <w:trHeight w:hRule="exact" w:val="746"/>
        </w:trPr>
        <w:tc>
          <w:tcPr>
            <w:tcW w:w="816" w:type="dxa"/>
          </w:tcPr>
          <w:p w:rsidR="00C43017" w:rsidRDefault="00D31AB6">
            <w:pPr>
              <w:pStyle w:val="TableParagraph"/>
              <w:spacing w:before="45"/>
              <w:ind w:left="170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8507" w:type="dxa"/>
          </w:tcPr>
          <w:p w:rsidR="00C43017" w:rsidRDefault="00D31AB6" w:rsidP="00D31AB6">
            <w:pPr>
              <w:pStyle w:val="TableParagraph"/>
              <w:spacing w:before="49"/>
              <w:ind w:right="760"/>
              <w:rPr>
                <w:sz w:val="18"/>
              </w:rPr>
            </w:pPr>
            <w:r>
              <w:rPr>
                <w:sz w:val="18"/>
              </w:rPr>
              <w:t>Improve oral language skills for pupils eligible for PP in Reception class.</w:t>
            </w:r>
          </w:p>
        </w:tc>
        <w:tc>
          <w:tcPr>
            <w:tcW w:w="6032" w:type="dxa"/>
          </w:tcPr>
          <w:p w:rsidR="00C43017" w:rsidRDefault="00D31AB6">
            <w:pPr>
              <w:pStyle w:val="TableParagraph"/>
              <w:spacing w:before="49"/>
              <w:ind w:right="156"/>
              <w:rPr>
                <w:sz w:val="18"/>
              </w:rPr>
            </w:pPr>
            <w:r>
              <w:rPr>
                <w:sz w:val="18"/>
              </w:rPr>
              <w:t>Pupils eligible for PP in Reception class make rapid progress by the end of the year so that all pupils eligible for PP meet age related expectations.</w:t>
            </w:r>
          </w:p>
        </w:tc>
      </w:tr>
      <w:tr w:rsidR="00C43017">
        <w:trPr>
          <w:trHeight w:hRule="exact" w:val="538"/>
        </w:trPr>
        <w:tc>
          <w:tcPr>
            <w:tcW w:w="816" w:type="dxa"/>
          </w:tcPr>
          <w:p w:rsidR="00C43017" w:rsidRDefault="00D31AB6">
            <w:pPr>
              <w:pStyle w:val="TableParagraph"/>
              <w:spacing w:before="45"/>
              <w:ind w:left="170"/>
              <w:rPr>
                <w:b/>
              </w:rPr>
            </w:pPr>
            <w:r>
              <w:rPr>
                <w:b/>
              </w:rPr>
              <w:t>B.</w:t>
            </w:r>
          </w:p>
        </w:tc>
        <w:tc>
          <w:tcPr>
            <w:tcW w:w="8507" w:type="dxa"/>
          </w:tcPr>
          <w:p w:rsidR="00C43017" w:rsidRDefault="00D31AB6" w:rsidP="00D31AB6">
            <w:pPr>
              <w:pStyle w:val="TableParagraph"/>
              <w:spacing w:before="49"/>
              <w:ind w:right="760"/>
              <w:rPr>
                <w:sz w:val="18"/>
              </w:rPr>
            </w:pPr>
            <w:r>
              <w:rPr>
                <w:sz w:val="18"/>
              </w:rPr>
              <w:t>Pupils eligible for PP in KS1 are making increased progress by the end of the year.</w:t>
            </w:r>
          </w:p>
        </w:tc>
        <w:tc>
          <w:tcPr>
            <w:tcW w:w="6032" w:type="dxa"/>
          </w:tcPr>
          <w:p w:rsidR="00C43017" w:rsidRDefault="00D31AB6" w:rsidP="00D31AB6">
            <w:pPr>
              <w:pStyle w:val="TableParagraph"/>
              <w:spacing w:before="49"/>
              <w:ind w:right="236"/>
              <w:rPr>
                <w:sz w:val="18"/>
              </w:rPr>
            </w:pPr>
            <w:r>
              <w:rPr>
                <w:sz w:val="18"/>
              </w:rPr>
              <w:t>Pupils eligible for PP are making sustained progress at pupil progress meetings</w:t>
            </w:r>
          </w:p>
        </w:tc>
      </w:tr>
      <w:tr w:rsidR="00C43017">
        <w:trPr>
          <w:trHeight w:hRule="exact" w:val="538"/>
        </w:trPr>
        <w:tc>
          <w:tcPr>
            <w:tcW w:w="816" w:type="dxa"/>
          </w:tcPr>
          <w:p w:rsidR="00C43017" w:rsidRDefault="00D31AB6">
            <w:pPr>
              <w:pStyle w:val="TableParagraph"/>
              <w:spacing w:before="45"/>
              <w:ind w:left="170"/>
              <w:rPr>
                <w:b/>
              </w:rPr>
            </w:pPr>
            <w:bookmarkStart w:id="0" w:name="_GoBack" w:colFirst="0" w:colLast="2"/>
            <w:r>
              <w:rPr>
                <w:b/>
              </w:rPr>
              <w:t>C.</w:t>
            </w:r>
          </w:p>
        </w:tc>
        <w:tc>
          <w:tcPr>
            <w:tcW w:w="8507" w:type="dxa"/>
          </w:tcPr>
          <w:p w:rsidR="00C43017" w:rsidRDefault="00D31AB6">
            <w:pPr>
              <w:pStyle w:val="TableParagraph"/>
              <w:spacing w:before="49"/>
              <w:ind w:right="760"/>
              <w:rPr>
                <w:sz w:val="18"/>
              </w:rPr>
            </w:pPr>
            <w:r>
              <w:rPr>
                <w:sz w:val="18"/>
              </w:rPr>
              <w:t xml:space="preserve">Adapted </w:t>
            </w:r>
            <w:proofErr w:type="spellStart"/>
            <w:r>
              <w:rPr>
                <w:sz w:val="18"/>
              </w:rPr>
              <w:t>programmes</w:t>
            </w:r>
            <w:proofErr w:type="spellEnd"/>
            <w:r>
              <w:rPr>
                <w:sz w:val="18"/>
              </w:rPr>
              <w:t xml:space="preserve"> carried out by specialist support enables children with SEN to reach the expected attainment and progress in Reading, Writing and </w:t>
            </w:r>
            <w:proofErr w:type="spellStart"/>
            <w:r>
              <w:rPr>
                <w:sz w:val="18"/>
              </w:rPr>
              <w:t>Maths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6032" w:type="dxa"/>
          </w:tcPr>
          <w:p w:rsidR="00C43017" w:rsidRDefault="00D31AB6">
            <w:pPr>
              <w:pStyle w:val="TableParagraph"/>
              <w:spacing w:before="49"/>
              <w:ind w:right="256"/>
              <w:rPr>
                <w:sz w:val="18"/>
              </w:rPr>
            </w:pPr>
            <w:r>
              <w:rPr>
                <w:sz w:val="18"/>
              </w:rPr>
              <w:t>These children make rapid progress by the end of the year so that they reach at least age related expectations.</w:t>
            </w:r>
          </w:p>
        </w:tc>
      </w:tr>
      <w:bookmarkEnd w:id="0"/>
      <w:tr w:rsidR="00C43017">
        <w:trPr>
          <w:trHeight w:hRule="exact" w:val="929"/>
        </w:trPr>
        <w:tc>
          <w:tcPr>
            <w:tcW w:w="816" w:type="dxa"/>
          </w:tcPr>
          <w:p w:rsidR="00C43017" w:rsidRDefault="00D31AB6">
            <w:pPr>
              <w:pStyle w:val="TableParagraph"/>
              <w:spacing w:before="45"/>
              <w:ind w:left="170"/>
              <w:rPr>
                <w:b/>
              </w:rPr>
            </w:pPr>
            <w:r>
              <w:rPr>
                <w:b/>
              </w:rPr>
              <w:t>D.</w:t>
            </w:r>
          </w:p>
        </w:tc>
        <w:tc>
          <w:tcPr>
            <w:tcW w:w="8507" w:type="dxa"/>
          </w:tcPr>
          <w:p w:rsidR="00C43017" w:rsidRDefault="00D31AB6" w:rsidP="00D31AB6">
            <w:pPr>
              <w:pStyle w:val="TableParagraph"/>
              <w:spacing w:before="49"/>
              <w:ind w:right="760"/>
              <w:rPr>
                <w:sz w:val="18"/>
              </w:rPr>
            </w:pPr>
            <w:r>
              <w:rPr>
                <w:sz w:val="18"/>
              </w:rPr>
              <w:t>Increased punctuality rates for pupils eligible for PP.</w:t>
            </w:r>
          </w:p>
        </w:tc>
        <w:tc>
          <w:tcPr>
            <w:tcW w:w="6032" w:type="dxa"/>
          </w:tcPr>
          <w:p w:rsidR="00C43017" w:rsidRDefault="00D31AB6" w:rsidP="00D31AB6">
            <w:pPr>
              <w:pStyle w:val="TableParagraph"/>
              <w:spacing w:before="49"/>
              <w:ind w:right="236"/>
              <w:rPr>
                <w:sz w:val="18"/>
              </w:rPr>
            </w:pPr>
            <w:r>
              <w:rPr>
                <w:sz w:val="18"/>
              </w:rPr>
              <w:t>Diminish the difference in overall punctuality between pupils eligible for PP and others.</w:t>
            </w:r>
          </w:p>
        </w:tc>
      </w:tr>
    </w:tbl>
    <w:p w:rsidR="00C43017" w:rsidRDefault="00C43017">
      <w:pPr>
        <w:spacing w:before="6"/>
        <w:rPr>
          <w:b/>
          <w:sz w:val="17"/>
        </w:rPr>
      </w:pPr>
    </w:p>
    <w:p w:rsidR="00C43017" w:rsidRDefault="00D31AB6">
      <w:pPr>
        <w:pStyle w:val="BodyText"/>
        <w:spacing w:before="57"/>
        <w:ind w:left="1192"/>
      </w:pPr>
      <w:r>
        <w:t>The milestones and detailed action plan specifying how the above desired outcomes will be achieved should be read in consultation with the above.</w:t>
      </w:r>
    </w:p>
    <w:sectPr w:rsidR="00C43017">
      <w:pgSz w:w="16840" w:h="11910" w:orient="landscape"/>
      <w:pgMar w:top="6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17"/>
    <w:rsid w:val="000C0834"/>
    <w:rsid w:val="002626EF"/>
    <w:rsid w:val="0045599E"/>
    <w:rsid w:val="00532A30"/>
    <w:rsid w:val="00716632"/>
    <w:rsid w:val="00970E12"/>
    <w:rsid w:val="00A94221"/>
    <w:rsid w:val="00C43017"/>
    <w:rsid w:val="00D3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3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3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3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Warrington Borough Council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TwissGreen_Primary_Head</cp:lastModifiedBy>
  <cp:revision>2</cp:revision>
  <dcterms:created xsi:type="dcterms:W3CDTF">2017-10-09T13:55:00Z</dcterms:created>
  <dcterms:modified xsi:type="dcterms:W3CDTF">2017-10-09T13:55:00Z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2016-11-07T00:00:00Z</vt:filetime>
  </property>
</Properties>
</file>